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B78C" w14:textId="3871AA83" w:rsidR="009365B1" w:rsidRDefault="001B25B3" w:rsidP="00480DBE">
      <w:pPr>
        <w:tabs>
          <w:tab w:val="left" w:pos="3686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Journées </w:t>
      </w:r>
      <w:r w:rsidR="00456C65">
        <w:rPr>
          <w:rFonts w:ascii="Calibri" w:hAnsi="Calibri"/>
          <w:b/>
          <w:sz w:val="28"/>
          <w:szCs w:val="28"/>
        </w:rPr>
        <w:t>Jeunes Chercheurs Condorcet 2</w:t>
      </w:r>
      <w:bookmarkStart w:id="0" w:name="_GoBack"/>
      <w:bookmarkEnd w:id="0"/>
      <w:r w:rsidR="00456C65">
        <w:rPr>
          <w:rFonts w:ascii="Calibri" w:hAnsi="Calibri"/>
          <w:b/>
          <w:sz w:val="28"/>
          <w:szCs w:val="28"/>
        </w:rPr>
        <w:t>0</w:t>
      </w:r>
      <w:r w:rsidR="00480DBE">
        <w:rPr>
          <w:rFonts w:ascii="Calibri" w:hAnsi="Calibri"/>
          <w:b/>
          <w:sz w:val="28"/>
          <w:szCs w:val="28"/>
        </w:rPr>
        <w:t>2</w:t>
      </w:r>
      <w:r w:rsidR="00577A2D">
        <w:rPr>
          <w:rFonts w:ascii="Calibri" w:hAnsi="Calibri"/>
          <w:b/>
          <w:sz w:val="28"/>
          <w:szCs w:val="28"/>
        </w:rPr>
        <w:t>1</w:t>
      </w:r>
      <w:r w:rsidR="009365B1">
        <w:rPr>
          <w:rFonts w:ascii="Calibri" w:hAnsi="Calibri"/>
          <w:b/>
          <w:sz w:val="28"/>
          <w:szCs w:val="28"/>
        </w:rPr>
        <w:t> (</w:t>
      </w:r>
      <w:r w:rsidR="00577A2D">
        <w:rPr>
          <w:rFonts w:ascii="Calibri" w:hAnsi="Calibri"/>
          <w:b/>
          <w:sz w:val="28"/>
          <w:szCs w:val="28"/>
        </w:rPr>
        <w:t>les 14</w:t>
      </w:r>
      <w:r w:rsidR="00122D60">
        <w:rPr>
          <w:rFonts w:ascii="Calibri" w:hAnsi="Calibri"/>
          <w:b/>
          <w:sz w:val="28"/>
          <w:szCs w:val="28"/>
        </w:rPr>
        <w:t xml:space="preserve"> et </w:t>
      </w:r>
      <w:r w:rsidR="00784FE5">
        <w:rPr>
          <w:rFonts w:ascii="Calibri" w:hAnsi="Calibri"/>
          <w:b/>
          <w:sz w:val="28"/>
          <w:szCs w:val="28"/>
        </w:rPr>
        <w:t>1</w:t>
      </w:r>
      <w:r w:rsidR="00577A2D">
        <w:rPr>
          <w:rFonts w:ascii="Calibri" w:hAnsi="Calibri"/>
          <w:b/>
          <w:sz w:val="28"/>
          <w:szCs w:val="28"/>
        </w:rPr>
        <w:t>5 janvier 2021</w:t>
      </w:r>
      <w:r w:rsidR="009365B1">
        <w:rPr>
          <w:rFonts w:ascii="Calibri" w:hAnsi="Calibri"/>
          <w:b/>
          <w:sz w:val="28"/>
          <w:szCs w:val="28"/>
        </w:rPr>
        <w:t>)</w:t>
      </w:r>
      <w:r w:rsidR="00480DBE">
        <w:rPr>
          <w:rFonts w:ascii="Calibri" w:hAnsi="Calibri"/>
          <w:b/>
          <w:sz w:val="28"/>
          <w:szCs w:val="28"/>
        </w:rPr>
        <w:t xml:space="preserve"> </w:t>
      </w:r>
      <w:r w:rsidR="00372289">
        <w:rPr>
          <w:rFonts w:ascii="Calibri" w:hAnsi="Calibri"/>
          <w:b/>
          <w:sz w:val="28"/>
          <w:szCs w:val="28"/>
        </w:rPr>
        <w:t>Résumé</w:t>
      </w:r>
      <w:r w:rsidR="00C805B1">
        <w:rPr>
          <w:rFonts w:ascii="Calibri" w:hAnsi="Calibri"/>
          <w:b/>
          <w:sz w:val="28"/>
          <w:szCs w:val="28"/>
        </w:rPr>
        <w:t xml:space="preserve"> </w:t>
      </w:r>
      <w:r w:rsidR="007048BC">
        <w:rPr>
          <w:rFonts w:ascii="Calibri" w:hAnsi="Calibri"/>
          <w:b/>
          <w:sz w:val="28"/>
          <w:szCs w:val="28"/>
        </w:rPr>
        <w:t xml:space="preserve">pour </w:t>
      </w:r>
      <w:r w:rsidR="006F2954" w:rsidRPr="006F2954">
        <w:rPr>
          <w:rFonts w:ascii="Calibri" w:hAnsi="Calibri"/>
          <w:b/>
          <w:i/>
          <w:iCs/>
          <w:sz w:val="28"/>
          <w:szCs w:val="28"/>
        </w:rPr>
        <w:t>(barrer mention inutile)</w:t>
      </w:r>
      <w:r w:rsidR="006F2954">
        <w:rPr>
          <w:rFonts w:ascii="Calibri" w:hAnsi="Calibri"/>
          <w:b/>
          <w:sz w:val="28"/>
          <w:szCs w:val="28"/>
        </w:rPr>
        <w:t xml:space="preserve"> </w:t>
      </w:r>
      <w:r w:rsidR="007048BC">
        <w:rPr>
          <w:rFonts w:ascii="Calibri" w:hAnsi="Calibri"/>
          <w:b/>
          <w:sz w:val="28"/>
          <w:szCs w:val="28"/>
        </w:rPr>
        <w:t xml:space="preserve">communication orale </w:t>
      </w:r>
      <w:r w:rsidR="006F2954" w:rsidRPr="006F2954">
        <w:rPr>
          <w:rFonts w:ascii="Calibri" w:hAnsi="Calibri"/>
          <w:b/>
          <w:sz w:val="28"/>
          <w:szCs w:val="28"/>
          <w:u w:val="single"/>
        </w:rPr>
        <w:t>ou</w:t>
      </w:r>
      <w:r w:rsidR="006F2954">
        <w:rPr>
          <w:rFonts w:ascii="Calibri" w:hAnsi="Calibri"/>
          <w:b/>
          <w:sz w:val="28"/>
          <w:szCs w:val="28"/>
        </w:rPr>
        <w:t xml:space="preserve"> poster</w:t>
      </w:r>
    </w:p>
    <w:p w14:paraId="60285FC8" w14:textId="77777777" w:rsidR="00FB26A5" w:rsidRDefault="00FB26A5" w:rsidP="009365B1">
      <w:pPr>
        <w:jc w:val="center"/>
        <w:rPr>
          <w:rFonts w:ascii="Calibri" w:hAnsi="Calibri"/>
          <w:b/>
        </w:rPr>
      </w:pPr>
    </w:p>
    <w:p w14:paraId="2F308EFD" w14:textId="78AF83A7" w:rsidR="00FB26A5" w:rsidRPr="00FB26A5" w:rsidRDefault="00312FF1" w:rsidP="00FB26A5">
      <w:pPr>
        <w:jc w:val="center"/>
        <w:rPr>
          <w:rFonts w:ascii="Calibri" w:hAnsi="Calibri"/>
          <w:b/>
        </w:rPr>
      </w:pPr>
      <w:r w:rsidRPr="00FB26A5">
        <w:rPr>
          <w:rFonts w:ascii="Calibri" w:hAnsi="Calibri"/>
          <w:b/>
        </w:rPr>
        <w:t xml:space="preserve">A retourner </w:t>
      </w:r>
      <w:r w:rsidR="007048BC" w:rsidRPr="00FB26A5">
        <w:rPr>
          <w:rFonts w:ascii="Calibri" w:hAnsi="Calibri"/>
          <w:b/>
          <w:u w:val="single"/>
        </w:rPr>
        <w:t xml:space="preserve">avant </w:t>
      </w:r>
      <w:r w:rsidR="00456C65">
        <w:rPr>
          <w:rFonts w:ascii="Calibri" w:hAnsi="Calibri"/>
          <w:b/>
          <w:u w:val="single"/>
        </w:rPr>
        <w:t xml:space="preserve">le </w:t>
      </w:r>
      <w:r w:rsidR="00C919AF">
        <w:rPr>
          <w:rFonts w:ascii="Calibri" w:hAnsi="Calibri"/>
          <w:b/>
          <w:u w:val="single"/>
        </w:rPr>
        <w:t>26 novembre</w:t>
      </w:r>
      <w:r w:rsidR="00577A2D">
        <w:rPr>
          <w:rFonts w:ascii="Calibri" w:hAnsi="Calibri"/>
          <w:b/>
          <w:u w:val="single"/>
        </w:rPr>
        <w:t xml:space="preserve"> 2020</w:t>
      </w:r>
      <w:r w:rsidR="00A43DFC" w:rsidRPr="00FB26A5">
        <w:rPr>
          <w:rFonts w:ascii="Calibri" w:hAnsi="Calibri"/>
          <w:b/>
        </w:rPr>
        <w:t xml:space="preserve"> </w:t>
      </w:r>
      <w:r w:rsidR="0082680E" w:rsidRPr="00FB26A5">
        <w:rPr>
          <w:rFonts w:ascii="Calibri" w:hAnsi="Calibri"/>
          <w:b/>
        </w:rPr>
        <w:t xml:space="preserve">à </w:t>
      </w:r>
      <w:r w:rsidR="00577A2D">
        <w:rPr>
          <w:rFonts w:ascii="Calibri" w:hAnsi="Calibri"/>
          <w:b/>
        </w:rPr>
        <w:t>sfr-condorcet-contact@univ-reims.fr</w:t>
      </w:r>
    </w:p>
    <w:p w14:paraId="6B15263B" w14:textId="056A66E5" w:rsidR="0082680E" w:rsidRPr="00FB26A5" w:rsidRDefault="00FB26A5" w:rsidP="009365B1">
      <w:pPr>
        <w:jc w:val="center"/>
        <w:rPr>
          <w:rFonts w:ascii="Calibri" w:hAnsi="Calibri"/>
          <w:b/>
        </w:rPr>
      </w:pPr>
      <w:r w:rsidRPr="00FB26A5">
        <w:rPr>
          <w:rFonts w:ascii="Calibri" w:hAnsi="Calibri"/>
          <w:b/>
        </w:rPr>
        <w:t>Le</w:t>
      </w:r>
      <w:r w:rsidR="00372289" w:rsidRPr="00FB26A5">
        <w:rPr>
          <w:rFonts w:ascii="Calibri" w:hAnsi="Calibri"/>
          <w:b/>
        </w:rPr>
        <w:t xml:space="preserve"> résumé ne doit pas dépasser </w:t>
      </w:r>
      <w:r w:rsidR="00372289" w:rsidRPr="00FB26A5">
        <w:rPr>
          <w:rFonts w:ascii="Calibri" w:hAnsi="Calibri"/>
          <w:b/>
          <w:u w:val="single"/>
        </w:rPr>
        <w:t>une page</w:t>
      </w:r>
      <w:r w:rsidRPr="00FB26A5">
        <w:rPr>
          <w:rFonts w:ascii="Calibri" w:hAnsi="Calibri"/>
          <w:b/>
        </w:rPr>
        <w:t xml:space="preserve"> et doit être envoyé </w:t>
      </w:r>
      <w:r w:rsidRPr="00FB26A5">
        <w:rPr>
          <w:rFonts w:ascii="Calibri" w:hAnsi="Calibri"/>
          <w:b/>
          <w:u w:val="single"/>
        </w:rPr>
        <w:t>en .docx</w:t>
      </w:r>
    </w:p>
    <w:p w14:paraId="25688AF7" w14:textId="77777777" w:rsidR="00312FF1" w:rsidRDefault="00312FF1" w:rsidP="009365B1">
      <w:pPr>
        <w:jc w:val="center"/>
        <w:rPr>
          <w:rFonts w:ascii="Calibri" w:hAnsi="Calibri"/>
          <w:sz w:val="20"/>
          <w:szCs w:val="20"/>
        </w:rPr>
      </w:pPr>
    </w:p>
    <w:p w14:paraId="5DE8DE2E" w14:textId="348FA6B6" w:rsidR="009365B1" w:rsidRPr="00FB26A5" w:rsidRDefault="009365B1" w:rsidP="00066418">
      <w:pPr>
        <w:rPr>
          <w:rFonts w:ascii="Calibri" w:hAnsi="Calibri"/>
          <w:b/>
          <w:color w:val="FF0000"/>
          <w:sz w:val="20"/>
          <w:szCs w:val="20"/>
        </w:rPr>
      </w:pPr>
      <w:r w:rsidRPr="00FB26A5">
        <w:rPr>
          <w:rFonts w:ascii="Calibri" w:hAnsi="Calibri"/>
          <w:b/>
          <w:color w:val="FF0000"/>
          <w:sz w:val="20"/>
          <w:szCs w:val="20"/>
        </w:rPr>
        <w:t xml:space="preserve">Modèle </w:t>
      </w:r>
      <w:r w:rsidR="005712C8" w:rsidRPr="00FB26A5">
        <w:rPr>
          <w:rFonts w:ascii="Calibri" w:hAnsi="Calibri"/>
          <w:b/>
          <w:color w:val="FF0000"/>
          <w:sz w:val="20"/>
          <w:szCs w:val="20"/>
        </w:rPr>
        <w:t xml:space="preserve">de </w:t>
      </w:r>
      <w:r w:rsidRPr="00FB26A5">
        <w:rPr>
          <w:rFonts w:ascii="Calibri" w:hAnsi="Calibri"/>
          <w:b/>
          <w:color w:val="FF0000"/>
          <w:sz w:val="20"/>
          <w:szCs w:val="20"/>
        </w:rPr>
        <w:t xml:space="preserve">résumé </w:t>
      </w:r>
      <w:r w:rsidR="00471DB6" w:rsidRPr="00FB26A5">
        <w:rPr>
          <w:rFonts w:ascii="Calibri" w:hAnsi="Calibri"/>
          <w:b/>
          <w:color w:val="FF0000"/>
          <w:sz w:val="20"/>
          <w:szCs w:val="20"/>
        </w:rPr>
        <w:t xml:space="preserve">à </w:t>
      </w:r>
      <w:r w:rsidR="00FB26A5" w:rsidRPr="00FB26A5">
        <w:rPr>
          <w:rFonts w:ascii="Calibri" w:hAnsi="Calibri"/>
          <w:b/>
          <w:color w:val="FF0000"/>
          <w:sz w:val="20"/>
          <w:szCs w:val="20"/>
        </w:rPr>
        <w:t>respecter</w:t>
      </w:r>
      <w:r w:rsidR="00471DB6" w:rsidRPr="00FB26A5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784FE5">
        <w:rPr>
          <w:rFonts w:ascii="Calibri" w:hAnsi="Calibri"/>
          <w:b/>
          <w:color w:val="FF0000"/>
          <w:sz w:val="20"/>
          <w:szCs w:val="20"/>
        </w:rPr>
        <w:t>(extrait du livret des J2C2 2017</w:t>
      </w:r>
      <w:r w:rsidR="00FB26A5" w:rsidRPr="00FB26A5">
        <w:rPr>
          <w:rFonts w:ascii="Calibri" w:hAnsi="Calibri"/>
          <w:b/>
          <w:color w:val="FF0000"/>
          <w:sz w:val="20"/>
          <w:szCs w:val="20"/>
        </w:rPr>
        <w:t>) </w:t>
      </w:r>
      <w:r w:rsidR="005712C8" w:rsidRPr="00FB26A5">
        <w:rPr>
          <w:rFonts w:ascii="Calibri" w:hAnsi="Calibri"/>
          <w:b/>
          <w:color w:val="FF0000"/>
          <w:sz w:val="20"/>
          <w:szCs w:val="20"/>
        </w:rPr>
        <w:t>:</w:t>
      </w:r>
      <w:r w:rsidRPr="00FB26A5">
        <w:rPr>
          <w:rFonts w:ascii="Calibri" w:hAnsi="Calibri"/>
          <w:b/>
          <w:color w:val="FF0000"/>
          <w:sz w:val="20"/>
          <w:szCs w:val="20"/>
        </w:rPr>
        <w:t xml:space="preserve"> </w:t>
      </w:r>
    </w:p>
    <w:p w14:paraId="539114F7" w14:textId="7F40E0C3" w:rsidR="009365B1" w:rsidRDefault="00D23C6C" w:rsidP="000664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Titre : Calibri 12</w:t>
      </w:r>
      <w:r w:rsidR="009365B1">
        <w:rPr>
          <w:rFonts w:ascii="Calibri" w:hAnsi="Calibri"/>
          <w:sz w:val="20"/>
          <w:szCs w:val="20"/>
        </w:rPr>
        <w:t xml:space="preserve"> gras</w:t>
      </w:r>
    </w:p>
    <w:p w14:paraId="0DF6477E" w14:textId="25584B95" w:rsidR="005712C8" w:rsidRDefault="00D23C6C" w:rsidP="000664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Signataires : Calibri 11</w:t>
      </w:r>
      <w:r w:rsidR="009365B1">
        <w:rPr>
          <w:rFonts w:ascii="Calibri" w:hAnsi="Calibri"/>
          <w:sz w:val="20"/>
          <w:szCs w:val="20"/>
        </w:rPr>
        <w:t xml:space="preserve"> </w:t>
      </w:r>
      <w:r w:rsidR="00056B98">
        <w:rPr>
          <w:rFonts w:ascii="Calibri" w:hAnsi="Calibri"/>
          <w:sz w:val="20"/>
          <w:szCs w:val="20"/>
        </w:rPr>
        <w:t xml:space="preserve">normal </w:t>
      </w:r>
      <w:r w:rsidR="009365B1">
        <w:rPr>
          <w:rFonts w:ascii="Calibri" w:hAnsi="Calibri"/>
          <w:sz w:val="20"/>
          <w:szCs w:val="20"/>
        </w:rPr>
        <w:t xml:space="preserve">(les intervenants </w:t>
      </w:r>
      <w:r w:rsidR="00456C65">
        <w:rPr>
          <w:rFonts w:ascii="Calibri" w:hAnsi="Calibri"/>
          <w:sz w:val="20"/>
          <w:szCs w:val="20"/>
        </w:rPr>
        <w:t>en bleu</w:t>
      </w:r>
      <w:r w:rsidR="009365B1">
        <w:rPr>
          <w:rFonts w:ascii="Calibri" w:hAnsi="Calibri"/>
          <w:sz w:val="20"/>
          <w:szCs w:val="20"/>
        </w:rPr>
        <w:t>)</w:t>
      </w:r>
    </w:p>
    <w:p w14:paraId="76149CC7" w14:textId="41D5447C" w:rsidR="009365B1" w:rsidRDefault="00D23C6C" w:rsidP="000664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Adresses : Calibri 11</w:t>
      </w:r>
      <w:r w:rsidR="009365B1">
        <w:rPr>
          <w:rFonts w:ascii="Calibri" w:hAnsi="Calibri"/>
          <w:sz w:val="20"/>
          <w:szCs w:val="20"/>
        </w:rPr>
        <w:t xml:space="preserve"> italique</w:t>
      </w:r>
    </w:p>
    <w:p w14:paraId="3240A7D6" w14:textId="01491C7C" w:rsidR="009365B1" w:rsidRDefault="00D23C6C" w:rsidP="000664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Texte : Calibri 11</w:t>
      </w:r>
      <w:r w:rsidR="00056B98">
        <w:rPr>
          <w:rFonts w:ascii="Calibri" w:hAnsi="Calibri"/>
          <w:sz w:val="20"/>
          <w:szCs w:val="20"/>
        </w:rPr>
        <w:t xml:space="preserve"> n</w:t>
      </w:r>
      <w:r w:rsidR="009365B1">
        <w:rPr>
          <w:rFonts w:ascii="Calibri" w:hAnsi="Calibri"/>
          <w:sz w:val="20"/>
          <w:szCs w:val="20"/>
        </w:rPr>
        <w:t>ormal</w:t>
      </w:r>
    </w:p>
    <w:p w14:paraId="54C8478B" w14:textId="498C82FE" w:rsidR="0021327B" w:rsidRPr="0021327B" w:rsidRDefault="0021327B" w:rsidP="00066418">
      <w:pPr>
        <w:rPr>
          <w:rFonts w:ascii="Calibri" w:hAnsi="Calibri"/>
          <w:sz w:val="20"/>
          <w:szCs w:val="20"/>
          <w:u w:val="single"/>
        </w:rPr>
      </w:pPr>
      <w:r w:rsidRPr="0021327B">
        <w:rPr>
          <w:rFonts w:ascii="Calibri" w:hAnsi="Calibri"/>
          <w:sz w:val="20"/>
          <w:szCs w:val="20"/>
          <w:u w:val="single"/>
        </w:rPr>
        <w:t>Pas de référence.</w:t>
      </w:r>
    </w:p>
    <w:p w14:paraId="60E32951" w14:textId="226D8B05" w:rsidR="00BE22CB" w:rsidRDefault="008622D0" w:rsidP="000664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</w:t>
      </w:r>
      <w:r w:rsidR="00BE22CB">
        <w:rPr>
          <w:rFonts w:ascii="Calibri" w:hAnsi="Calibri"/>
          <w:sz w:val="20"/>
          <w:szCs w:val="20"/>
        </w:rPr>
        <w:t>erci de respecter le format indiqué en dessous.</w:t>
      </w:r>
    </w:p>
    <w:p w14:paraId="64358E7E" w14:textId="25126486" w:rsidR="008622D0" w:rsidRDefault="00317B8A" w:rsidP="000664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Il est possible d’ajouter figures et </w:t>
      </w:r>
      <w:r w:rsidR="008622D0">
        <w:rPr>
          <w:rFonts w:ascii="Calibri" w:hAnsi="Calibri"/>
          <w:sz w:val="20"/>
          <w:szCs w:val="20"/>
        </w:rPr>
        <w:t xml:space="preserve">schémas </w:t>
      </w:r>
      <w:r>
        <w:rPr>
          <w:rFonts w:ascii="Calibri" w:hAnsi="Calibri"/>
          <w:sz w:val="20"/>
          <w:szCs w:val="20"/>
        </w:rPr>
        <w:t xml:space="preserve">pour illustrer </w:t>
      </w:r>
      <w:r w:rsidR="00E7728A">
        <w:rPr>
          <w:rFonts w:ascii="Calibri" w:hAnsi="Calibri"/>
          <w:sz w:val="20"/>
          <w:szCs w:val="20"/>
        </w:rPr>
        <w:t>le résumé tout en respectant le format d’une page.</w:t>
      </w:r>
    </w:p>
    <w:p w14:paraId="50F42754" w14:textId="77777777" w:rsidR="008622D0" w:rsidRPr="0021327B" w:rsidRDefault="008622D0" w:rsidP="0086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Theme="majorHAnsi" w:hAnsiTheme="majorHAnsi"/>
          <w:b/>
          <w:color w:val="365F91" w:themeColor="accent1" w:themeShade="BF"/>
          <w:lang w:eastAsia="fr-BE"/>
        </w:rPr>
      </w:pPr>
      <w:r w:rsidRPr="0021327B">
        <w:rPr>
          <w:rFonts w:asciiTheme="majorHAnsi" w:hAnsiTheme="majorHAnsi"/>
          <w:b/>
          <w:color w:val="365F91" w:themeColor="accent1" w:themeShade="BF"/>
          <w:lang w:eastAsia="fr-BE"/>
        </w:rPr>
        <w:t>Changements dans le métabolisme secondaire observés chez des mutants d’</w:t>
      </w:r>
      <w:r w:rsidRPr="0021327B">
        <w:rPr>
          <w:rFonts w:asciiTheme="majorHAnsi" w:hAnsiTheme="majorHAnsi"/>
          <w:b/>
          <w:i/>
          <w:color w:val="365F91" w:themeColor="accent1" w:themeShade="BF"/>
          <w:lang w:eastAsia="fr-BE"/>
        </w:rPr>
        <w:t>Arabidopsis thaliana</w:t>
      </w:r>
      <w:r w:rsidRPr="0021327B">
        <w:rPr>
          <w:rFonts w:asciiTheme="majorHAnsi" w:hAnsiTheme="majorHAnsi"/>
          <w:b/>
          <w:color w:val="365F91" w:themeColor="accent1" w:themeShade="BF"/>
          <w:lang w:eastAsia="fr-BE"/>
        </w:rPr>
        <w:t xml:space="preserve"> pour les </w:t>
      </w:r>
      <w:proofErr w:type="spellStart"/>
      <w:r w:rsidRPr="0021327B">
        <w:rPr>
          <w:rFonts w:asciiTheme="majorHAnsi" w:hAnsiTheme="majorHAnsi"/>
          <w:b/>
          <w:color w:val="365F91" w:themeColor="accent1" w:themeShade="BF"/>
          <w:lang w:eastAsia="fr-BE"/>
        </w:rPr>
        <w:t>pinorésinol</w:t>
      </w:r>
      <w:proofErr w:type="spellEnd"/>
      <w:r w:rsidRPr="0021327B">
        <w:rPr>
          <w:rFonts w:asciiTheme="majorHAnsi" w:hAnsiTheme="majorHAnsi"/>
          <w:b/>
          <w:color w:val="365F91" w:themeColor="accent1" w:themeShade="BF"/>
          <w:lang w:eastAsia="fr-BE"/>
        </w:rPr>
        <w:t xml:space="preserve"> réductases</w:t>
      </w:r>
    </w:p>
    <w:p w14:paraId="4195A83E" w14:textId="77777777" w:rsidR="008622D0" w:rsidRPr="00D23C6C" w:rsidRDefault="008622D0" w:rsidP="0086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Theme="majorHAnsi" w:hAnsiTheme="majorHAnsi"/>
          <w:sz w:val="22"/>
          <w:szCs w:val="22"/>
          <w:vertAlign w:val="superscript"/>
        </w:rPr>
      </w:pPr>
      <w:r w:rsidRPr="0021327B">
        <w:rPr>
          <w:rFonts w:asciiTheme="majorHAnsi" w:hAnsiTheme="majorHAnsi"/>
          <w:b/>
          <w:color w:val="365F91" w:themeColor="accent1" w:themeShade="BF"/>
          <w:sz w:val="22"/>
          <w:szCs w:val="22"/>
        </w:rPr>
        <w:t>Cédric Decourtil</w:t>
      </w:r>
      <w:r w:rsidRPr="0021327B">
        <w:rPr>
          <w:rFonts w:asciiTheme="majorHAnsi" w:hAnsiTheme="majorHAnsi"/>
          <w:b/>
          <w:color w:val="365F91" w:themeColor="accent1" w:themeShade="BF"/>
          <w:sz w:val="22"/>
          <w:szCs w:val="22"/>
          <w:vertAlign w:val="superscript"/>
        </w:rPr>
        <w:t>1</w:t>
      </w:r>
      <w:r w:rsidRPr="00D23C6C">
        <w:rPr>
          <w:rFonts w:asciiTheme="majorHAnsi" w:hAnsiTheme="majorHAnsi"/>
          <w:sz w:val="22"/>
          <w:szCs w:val="22"/>
        </w:rPr>
        <w:t>, Jean Xavier Fontaine</w:t>
      </w:r>
      <w:r w:rsidRPr="00D23C6C">
        <w:rPr>
          <w:rFonts w:asciiTheme="majorHAnsi" w:hAnsiTheme="majorHAnsi"/>
          <w:sz w:val="22"/>
          <w:szCs w:val="22"/>
          <w:vertAlign w:val="superscript"/>
        </w:rPr>
        <w:t>1</w:t>
      </w:r>
      <w:r w:rsidRPr="00D23C6C">
        <w:rPr>
          <w:rFonts w:asciiTheme="majorHAnsi" w:hAnsiTheme="majorHAnsi"/>
          <w:sz w:val="22"/>
          <w:szCs w:val="22"/>
        </w:rPr>
        <w:t>, Roland Moline</w:t>
      </w:r>
      <w:r w:rsidRPr="00D23C6C">
        <w:rPr>
          <w:rFonts w:asciiTheme="majorHAnsi" w:hAnsiTheme="majorHAnsi"/>
          <w:sz w:val="22"/>
          <w:szCs w:val="22"/>
          <w:vertAlign w:val="superscript"/>
        </w:rPr>
        <w:t>1</w:t>
      </w:r>
      <w:r w:rsidRPr="00D23C6C">
        <w:rPr>
          <w:rFonts w:asciiTheme="majorHAnsi" w:hAnsiTheme="majorHAnsi"/>
          <w:sz w:val="22"/>
          <w:szCs w:val="22"/>
        </w:rPr>
        <w:t>, Anthony Quero</w:t>
      </w:r>
      <w:r w:rsidRPr="00D23C6C">
        <w:rPr>
          <w:rFonts w:asciiTheme="majorHAnsi" w:hAnsiTheme="majorHAnsi"/>
          <w:sz w:val="22"/>
          <w:szCs w:val="22"/>
          <w:vertAlign w:val="superscript"/>
        </w:rPr>
        <w:t>1</w:t>
      </w:r>
      <w:r w:rsidRPr="00D23C6C">
        <w:rPr>
          <w:rFonts w:asciiTheme="majorHAnsi" w:hAnsiTheme="majorHAnsi"/>
          <w:sz w:val="22"/>
          <w:szCs w:val="22"/>
        </w:rPr>
        <w:t>, Romain Roulard</w:t>
      </w:r>
      <w:r w:rsidRPr="00D23C6C">
        <w:rPr>
          <w:rFonts w:asciiTheme="majorHAnsi" w:hAnsiTheme="majorHAnsi"/>
          <w:sz w:val="22"/>
          <w:szCs w:val="22"/>
          <w:vertAlign w:val="superscript"/>
        </w:rPr>
        <w:t>1</w:t>
      </w:r>
      <w:r w:rsidRPr="00D23C6C">
        <w:rPr>
          <w:rFonts w:asciiTheme="majorHAnsi" w:hAnsiTheme="majorHAnsi"/>
          <w:sz w:val="22"/>
          <w:szCs w:val="22"/>
        </w:rPr>
        <w:t>, David Mathiron</w:t>
      </w:r>
      <w:r w:rsidRPr="00D23C6C">
        <w:rPr>
          <w:rFonts w:asciiTheme="majorHAnsi" w:hAnsiTheme="majorHAnsi"/>
          <w:sz w:val="22"/>
          <w:szCs w:val="22"/>
          <w:vertAlign w:val="superscript"/>
        </w:rPr>
        <w:t>2</w:t>
      </w:r>
      <w:r w:rsidRPr="00D23C6C">
        <w:rPr>
          <w:rFonts w:asciiTheme="majorHAnsi" w:hAnsiTheme="majorHAnsi"/>
          <w:sz w:val="22"/>
          <w:szCs w:val="22"/>
        </w:rPr>
        <w:t>, Serge Pilard</w:t>
      </w:r>
      <w:r w:rsidRPr="00D23C6C">
        <w:rPr>
          <w:rFonts w:asciiTheme="majorHAnsi" w:hAnsiTheme="majorHAnsi"/>
          <w:sz w:val="22"/>
          <w:szCs w:val="22"/>
          <w:vertAlign w:val="superscript"/>
        </w:rPr>
        <w:t>2</w:t>
      </w:r>
      <w:r w:rsidRPr="00D23C6C">
        <w:rPr>
          <w:rFonts w:asciiTheme="majorHAnsi" w:hAnsiTheme="majorHAnsi"/>
          <w:sz w:val="22"/>
          <w:szCs w:val="22"/>
        </w:rPr>
        <w:t>, David Cronier</w:t>
      </w:r>
      <w:r w:rsidRPr="00D23C6C">
        <w:rPr>
          <w:rFonts w:asciiTheme="majorHAnsi" w:hAnsiTheme="majorHAnsi"/>
          <w:sz w:val="22"/>
          <w:szCs w:val="22"/>
          <w:vertAlign w:val="superscript"/>
        </w:rPr>
        <w:t>3</w:t>
      </w:r>
      <w:r w:rsidRPr="00D23C6C">
        <w:rPr>
          <w:rFonts w:asciiTheme="majorHAnsi" w:hAnsiTheme="majorHAnsi"/>
          <w:sz w:val="22"/>
          <w:szCs w:val="22"/>
        </w:rPr>
        <w:t>, Brigitte Chabbert</w:t>
      </w:r>
      <w:r w:rsidRPr="00D23C6C">
        <w:rPr>
          <w:rFonts w:asciiTheme="majorHAnsi" w:hAnsiTheme="majorHAnsi"/>
          <w:sz w:val="22"/>
          <w:szCs w:val="22"/>
          <w:vertAlign w:val="superscript"/>
        </w:rPr>
        <w:t>3</w:t>
      </w:r>
      <w:r w:rsidRPr="00D23C6C">
        <w:rPr>
          <w:rFonts w:asciiTheme="majorHAnsi" w:hAnsiTheme="majorHAnsi"/>
          <w:sz w:val="22"/>
          <w:szCs w:val="22"/>
        </w:rPr>
        <w:t>, François Mesnard</w:t>
      </w:r>
      <w:r w:rsidRPr="00D23C6C">
        <w:rPr>
          <w:rFonts w:asciiTheme="majorHAnsi" w:hAnsiTheme="majorHAnsi"/>
          <w:sz w:val="22"/>
          <w:szCs w:val="22"/>
          <w:vertAlign w:val="superscript"/>
        </w:rPr>
        <w:t>1</w:t>
      </w:r>
    </w:p>
    <w:p w14:paraId="25642D7D" w14:textId="77777777" w:rsidR="008622D0" w:rsidRPr="008622D0" w:rsidRDefault="008622D0" w:rsidP="008622D0">
      <w:pPr>
        <w:pStyle w:val="Default"/>
        <w:rPr>
          <w:rFonts w:asciiTheme="majorHAnsi" w:hAnsiTheme="majorHAnsi"/>
          <w:sz w:val="2"/>
        </w:rPr>
      </w:pPr>
      <w:r w:rsidRPr="008622D0">
        <w:rPr>
          <w:rFonts w:asciiTheme="majorHAnsi" w:hAnsiTheme="majorHAnsi"/>
          <w:sz w:val="2"/>
        </w:rPr>
        <w:t>PFA</w:t>
      </w:r>
    </w:p>
    <w:p w14:paraId="0F31DB85" w14:textId="77777777" w:rsidR="008622D0" w:rsidRPr="008622D0" w:rsidRDefault="008622D0" w:rsidP="008622D0">
      <w:pPr>
        <w:pStyle w:val="Default"/>
        <w:rPr>
          <w:rFonts w:asciiTheme="majorHAnsi" w:hAnsiTheme="majorHAnsi"/>
          <w:sz w:val="20"/>
          <w:szCs w:val="20"/>
        </w:rPr>
      </w:pPr>
    </w:p>
    <w:p w14:paraId="06BF3F42" w14:textId="77777777" w:rsidR="008622D0" w:rsidRPr="00D23C6C" w:rsidRDefault="008622D0" w:rsidP="008622D0">
      <w:pPr>
        <w:pStyle w:val="Default"/>
        <w:jc w:val="both"/>
        <w:rPr>
          <w:rFonts w:asciiTheme="majorHAnsi" w:hAnsiTheme="majorHAnsi"/>
          <w:i/>
          <w:sz w:val="22"/>
          <w:szCs w:val="22"/>
        </w:rPr>
      </w:pPr>
      <w:r w:rsidRPr="00D23C6C">
        <w:rPr>
          <w:rFonts w:asciiTheme="majorHAnsi" w:hAnsiTheme="majorHAnsi"/>
          <w:i/>
          <w:color w:val="000000" w:themeColor="text1"/>
          <w:sz w:val="22"/>
          <w:szCs w:val="22"/>
          <w:vertAlign w:val="superscript"/>
        </w:rPr>
        <w:t>1</w:t>
      </w:r>
      <w:r w:rsidRPr="00D23C6C">
        <w:rPr>
          <w:rFonts w:asciiTheme="majorHAnsi" w:hAnsiTheme="majorHAnsi"/>
          <w:i/>
          <w:color w:val="000000" w:themeColor="text1"/>
          <w:sz w:val="22"/>
          <w:szCs w:val="22"/>
          <w:lang w:val="fr-BE"/>
        </w:rPr>
        <w:t xml:space="preserve">Biologie des Plantes &amp; Innovation </w:t>
      </w:r>
      <w:r w:rsidRPr="00D23C6C">
        <w:rPr>
          <w:rFonts w:asciiTheme="majorHAnsi" w:hAnsiTheme="majorHAnsi"/>
          <w:i/>
          <w:sz w:val="22"/>
          <w:szCs w:val="22"/>
        </w:rPr>
        <w:t xml:space="preserve">(EA 3900 BIOPI), Laboratoire de Phytotechnologie et Pharmacognosie, Faculté de Pharmacie, Université de Picardie Jules Verne, 1 rue des </w:t>
      </w:r>
      <w:proofErr w:type="spellStart"/>
      <w:r w:rsidRPr="00D23C6C">
        <w:rPr>
          <w:rFonts w:asciiTheme="majorHAnsi" w:hAnsiTheme="majorHAnsi"/>
          <w:i/>
          <w:sz w:val="22"/>
          <w:szCs w:val="22"/>
        </w:rPr>
        <w:t>Louvels</w:t>
      </w:r>
      <w:proofErr w:type="spellEnd"/>
      <w:r w:rsidRPr="00D23C6C">
        <w:rPr>
          <w:rFonts w:asciiTheme="majorHAnsi" w:hAnsiTheme="majorHAnsi"/>
          <w:i/>
          <w:sz w:val="22"/>
          <w:szCs w:val="22"/>
        </w:rPr>
        <w:t>, 80037 Amiens Cedex 1, France.</w:t>
      </w:r>
    </w:p>
    <w:p w14:paraId="71EA7475" w14:textId="77777777" w:rsidR="008622D0" w:rsidRPr="00D23C6C" w:rsidRDefault="008622D0" w:rsidP="008622D0">
      <w:pPr>
        <w:pStyle w:val="Default"/>
        <w:jc w:val="both"/>
        <w:rPr>
          <w:rFonts w:asciiTheme="majorHAnsi" w:hAnsiTheme="majorHAnsi"/>
          <w:i/>
          <w:sz w:val="22"/>
          <w:szCs w:val="22"/>
        </w:rPr>
      </w:pPr>
      <w:r w:rsidRPr="00D23C6C">
        <w:rPr>
          <w:rFonts w:asciiTheme="majorHAnsi" w:hAnsiTheme="majorHAnsi"/>
          <w:i/>
          <w:sz w:val="22"/>
          <w:szCs w:val="22"/>
          <w:vertAlign w:val="superscript"/>
        </w:rPr>
        <w:t>2</w:t>
      </w:r>
      <w:r w:rsidRPr="00D23C6C">
        <w:rPr>
          <w:rFonts w:asciiTheme="majorHAnsi" w:hAnsiTheme="majorHAnsi"/>
          <w:i/>
          <w:sz w:val="22"/>
          <w:szCs w:val="22"/>
        </w:rPr>
        <w:t>Plate-Forme Analytique (PFA), Université de Picardie Jules Verne, 33 rue Saint Leu, 80039 Amiens Cedex 1, France.</w:t>
      </w:r>
    </w:p>
    <w:p w14:paraId="4A829029" w14:textId="77777777" w:rsidR="008622D0" w:rsidRPr="00D23C6C" w:rsidRDefault="008622D0" w:rsidP="008622D0">
      <w:pPr>
        <w:jc w:val="both"/>
        <w:rPr>
          <w:rFonts w:asciiTheme="majorHAnsi" w:hAnsiTheme="majorHAnsi" w:cs="Calibri"/>
          <w:i/>
          <w:color w:val="000000" w:themeColor="text1"/>
          <w:sz w:val="22"/>
          <w:szCs w:val="22"/>
        </w:rPr>
      </w:pPr>
      <w:r w:rsidRPr="00D23C6C">
        <w:rPr>
          <w:rFonts w:asciiTheme="majorHAnsi" w:hAnsiTheme="majorHAnsi"/>
          <w:i/>
          <w:color w:val="000000" w:themeColor="text1"/>
          <w:sz w:val="22"/>
          <w:szCs w:val="22"/>
          <w:vertAlign w:val="superscript"/>
        </w:rPr>
        <w:t>3</w:t>
      </w:r>
      <w:r w:rsidRPr="00D23C6C">
        <w:rPr>
          <w:rFonts w:asciiTheme="majorHAnsi" w:hAnsiTheme="majorHAnsi" w:cs="Calibri"/>
          <w:i/>
          <w:color w:val="000000" w:themeColor="text1"/>
          <w:sz w:val="22"/>
          <w:szCs w:val="22"/>
        </w:rPr>
        <w:t xml:space="preserve">Fractionnement des </w:t>
      </w:r>
      <w:proofErr w:type="spellStart"/>
      <w:r w:rsidRPr="00D23C6C">
        <w:rPr>
          <w:rFonts w:asciiTheme="majorHAnsi" w:hAnsiTheme="majorHAnsi" w:cs="Calibri"/>
          <w:i/>
          <w:color w:val="000000" w:themeColor="text1"/>
          <w:sz w:val="22"/>
          <w:szCs w:val="22"/>
        </w:rPr>
        <w:t>AgroRessources</w:t>
      </w:r>
      <w:proofErr w:type="spellEnd"/>
      <w:r w:rsidRPr="00D23C6C">
        <w:rPr>
          <w:rFonts w:asciiTheme="majorHAnsi" w:hAnsiTheme="majorHAnsi" w:cs="Calibri"/>
          <w:i/>
          <w:color w:val="000000" w:themeColor="text1"/>
          <w:sz w:val="22"/>
          <w:szCs w:val="22"/>
        </w:rPr>
        <w:t xml:space="preserve"> et Environnement (UMR INRA 614 FARE), Université de Reims Champagne-Ardenne, 2 Esplanade Roland Garros, BP 224, 51686 Reims Cedex 2</w:t>
      </w:r>
      <w:r w:rsidRPr="00D23C6C">
        <w:rPr>
          <w:rFonts w:asciiTheme="majorHAnsi" w:hAnsiTheme="majorHAnsi"/>
          <w:i/>
          <w:sz w:val="22"/>
          <w:szCs w:val="22"/>
        </w:rPr>
        <w:t>, France.</w:t>
      </w:r>
    </w:p>
    <w:p w14:paraId="2AD079AA" w14:textId="77777777" w:rsidR="008622D0" w:rsidRPr="00D23C6C" w:rsidRDefault="008622D0" w:rsidP="008622D0">
      <w:pPr>
        <w:rPr>
          <w:rFonts w:asciiTheme="majorHAnsi" w:hAnsiTheme="majorHAnsi"/>
          <w:i/>
          <w:sz w:val="22"/>
          <w:szCs w:val="22"/>
        </w:rPr>
      </w:pPr>
    </w:p>
    <w:p w14:paraId="7440DFF4" w14:textId="01CE7BCD" w:rsidR="008622D0" w:rsidRDefault="008622D0" w:rsidP="0021327B">
      <w:pPr>
        <w:ind w:firstLine="426"/>
        <w:jc w:val="both"/>
        <w:rPr>
          <w:rFonts w:asciiTheme="majorHAnsi" w:hAnsiTheme="majorHAnsi"/>
          <w:sz w:val="22"/>
          <w:szCs w:val="22"/>
        </w:rPr>
      </w:pPr>
      <w:r w:rsidRPr="00D23C6C">
        <w:rPr>
          <w:rFonts w:asciiTheme="majorHAnsi" w:hAnsiTheme="majorHAnsi"/>
          <w:i/>
          <w:sz w:val="22"/>
          <w:szCs w:val="22"/>
        </w:rPr>
        <w:t>Arabidopsis thaliana</w:t>
      </w:r>
      <w:r w:rsidRPr="00D23C6C">
        <w:rPr>
          <w:rFonts w:asciiTheme="majorHAnsi" w:hAnsiTheme="majorHAnsi"/>
          <w:sz w:val="22"/>
          <w:szCs w:val="22"/>
        </w:rPr>
        <w:t xml:space="preserve"> possède deux </w:t>
      </w:r>
      <w:proofErr w:type="spellStart"/>
      <w:r w:rsidRPr="00D23C6C">
        <w:rPr>
          <w:rFonts w:asciiTheme="majorHAnsi" w:hAnsiTheme="majorHAnsi"/>
          <w:sz w:val="22"/>
          <w:szCs w:val="22"/>
        </w:rPr>
        <w:t>Pinorésinol</w:t>
      </w:r>
      <w:proofErr w:type="spellEnd"/>
      <w:r w:rsidRPr="00D23C6C">
        <w:rPr>
          <w:rFonts w:asciiTheme="majorHAnsi" w:hAnsiTheme="majorHAnsi"/>
          <w:sz w:val="22"/>
          <w:szCs w:val="22"/>
        </w:rPr>
        <w:t xml:space="preserve"> réductases, la </w:t>
      </w:r>
      <w:proofErr w:type="spellStart"/>
      <w:r w:rsidRPr="00D23C6C">
        <w:rPr>
          <w:rFonts w:asciiTheme="majorHAnsi" w:hAnsiTheme="majorHAnsi"/>
          <w:sz w:val="22"/>
          <w:szCs w:val="22"/>
        </w:rPr>
        <w:t>Pinorésinol</w:t>
      </w:r>
      <w:proofErr w:type="spellEnd"/>
      <w:r w:rsidRPr="00D23C6C">
        <w:rPr>
          <w:rFonts w:asciiTheme="majorHAnsi" w:hAnsiTheme="majorHAnsi"/>
          <w:sz w:val="22"/>
          <w:szCs w:val="22"/>
        </w:rPr>
        <w:t xml:space="preserve"> réductase 1 (Pr1) et la </w:t>
      </w:r>
      <w:proofErr w:type="spellStart"/>
      <w:r w:rsidRPr="00D23C6C">
        <w:rPr>
          <w:rFonts w:asciiTheme="majorHAnsi" w:hAnsiTheme="majorHAnsi"/>
          <w:sz w:val="22"/>
          <w:szCs w:val="22"/>
        </w:rPr>
        <w:t>Pinorésinol</w:t>
      </w:r>
      <w:proofErr w:type="spellEnd"/>
      <w:r w:rsidRPr="00D23C6C">
        <w:rPr>
          <w:rFonts w:asciiTheme="majorHAnsi" w:hAnsiTheme="majorHAnsi"/>
          <w:sz w:val="22"/>
          <w:szCs w:val="22"/>
        </w:rPr>
        <w:t xml:space="preserve"> réductase 2 (Pr2), deux enzymes impliquées dans la voie de biosynthèse des </w:t>
      </w:r>
      <w:proofErr w:type="spellStart"/>
      <w:r w:rsidRPr="00D23C6C">
        <w:rPr>
          <w:rFonts w:asciiTheme="majorHAnsi" w:hAnsiTheme="majorHAnsi"/>
          <w:sz w:val="22"/>
          <w:szCs w:val="22"/>
        </w:rPr>
        <w:t>lignanes</w:t>
      </w:r>
      <w:proofErr w:type="spellEnd"/>
      <w:r w:rsidRPr="00D23C6C">
        <w:rPr>
          <w:rFonts w:asciiTheme="majorHAnsi" w:hAnsiTheme="majorHAnsi"/>
          <w:sz w:val="22"/>
          <w:szCs w:val="22"/>
        </w:rPr>
        <w:t xml:space="preserve"> catalysant la réaction du </w:t>
      </w:r>
      <w:proofErr w:type="spellStart"/>
      <w:r w:rsidRPr="00D23C6C">
        <w:rPr>
          <w:rFonts w:asciiTheme="majorHAnsi" w:hAnsiTheme="majorHAnsi"/>
          <w:sz w:val="22"/>
          <w:szCs w:val="22"/>
        </w:rPr>
        <w:t>Pinorésinol</w:t>
      </w:r>
      <w:proofErr w:type="spellEnd"/>
      <w:r w:rsidRPr="00D23C6C">
        <w:rPr>
          <w:rFonts w:asciiTheme="majorHAnsi" w:hAnsiTheme="majorHAnsi"/>
          <w:sz w:val="22"/>
          <w:szCs w:val="22"/>
        </w:rPr>
        <w:t xml:space="preserve"> en </w:t>
      </w:r>
      <w:proofErr w:type="spellStart"/>
      <w:r w:rsidRPr="00D23C6C">
        <w:rPr>
          <w:rFonts w:asciiTheme="majorHAnsi" w:hAnsiTheme="majorHAnsi"/>
          <w:sz w:val="22"/>
          <w:szCs w:val="22"/>
        </w:rPr>
        <w:t>Laricirésinol</w:t>
      </w:r>
      <w:proofErr w:type="spellEnd"/>
      <w:r w:rsidRPr="00D23C6C">
        <w:rPr>
          <w:rFonts w:asciiTheme="majorHAnsi" w:hAnsiTheme="majorHAnsi"/>
          <w:sz w:val="22"/>
          <w:szCs w:val="22"/>
        </w:rPr>
        <w:t xml:space="preserve">. Ces deux enzymes ne font pas la seconde réduction du </w:t>
      </w:r>
      <w:proofErr w:type="spellStart"/>
      <w:r w:rsidRPr="00D23C6C">
        <w:rPr>
          <w:rFonts w:asciiTheme="majorHAnsi" w:hAnsiTheme="majorHAnsi"/>
          <w:sz w:val="22"/>
          <w:szCs w:val="22"/>
        </w:rPr>
        <w:t>Laricirésinol</w:t>
      </w:r>
      <w:proofErr w:type="spellEnd"/>
      <w:r w:rsidRPr="00D23C6C">
        <w:rPr>
          <w:rFonts w:asciiTheme="majorHAnsi" w:hAnsiTheme="majorHAnsi"/>
          <w:sz w:val="22"/>
          <w:szCs w:val="22"/>
        </w:rPr>
        <w:t xml:space="preserve"> en </w:t>
      </w:r>
      <w:proofErr w:type="spellStart"/>
      <w:r w:rsidRPr="00D23C6C">
        <w:rPr>
          <w:rFonts w:asciiTheme="majorHAnsi" w:hAnsiTheme="majorHAnsi"/>
          <w:sz w:val="22"/>
          <w:szCs w:val="22"/>
        </w:rPr>
        <w:t>Sécoisolaricirésinol</w:t>
      </w:r>
      <w:proofErr w:type="spellEnd"/>
      <w:r w:rsidRPr="00D23C6C">
        <w:rPr>
          <w:rFonts w:asciiTheme="majorHAnsi" w:hAnsiTheme="majorHAnsi"/>
          <w:sz w:val="22"/>
          <w:szCs w:val="22"/>
        </w:rPr>
        <w:t xml:space="preserve"> contrairement au lin qui possède des </w:t>
      </w:r>
      <w:proofErr w:type="spellStart"/>
      <w:r w:rsidRPr="00D23C6C">
        <w:rPr>
          <w:rFonts w:asciiTheme="majorHAnsi" w:hAnsiTheme="majorHAnsi"/>
          <w:sz w:val="22"/>
          <w:szCs w:val="22"/>
        </w:rPr>
        <w:t>Pinorésinol</w:t>
      </w:r>
      <w:proofErr w:type="spellEnd"/>
      <w:r w:rsidRPr="00D23C6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23C6C">
        <w:rPr>
          <w:rFonts w:asciiTheme="majorHAnsi" w:hAnsiTheme="majorHAnsi"/>
          <w:sz w:val="22"/>
          <w:szCs w:val="22"/>
        </w:rPr>
        <w:t>Laricirésinol</w:t>
      </w:r>
      <w:proofErr w:type="spellEnd"/>
      <w:r w:rsidRPr="00D23C6C">
        <w:rPr>
          <w:rFonts w:asciiTheme="majorHAnsi" w:hAnsiTheme="majorHAnsi"/>
          <w:sz w:val="22"/>
          <w:szCs w:val="22"/>
        </w:rPr>
        <w:t xml:space="preserve"> réductases. Ces gènes présentent des profils d’expression différents selon les organes : tiges, feuilles et racines. Les </w:t>
      </w:r>
      <w:proofErr w:type="spellStart"/>
      <w:r w:rsidRPr="00D23C6C">
        <w:rPr>
          <w:rFonts w:asciiTheme="majorHAnsi" w:hAnsiTheme="majorHAnsi"/>
          <w:sz w:val="22"/>
          <w:szCs w:val="22"/>
        </w:rPr>
        <w:t>lignanes</w:t>
      </w:r>
      <w:proofErr w:type="spellEnd"/>
      <w:r w:rsidRPr="00D23C6C">
        <w:rPr>
          <w:rFonts w:asciiTheme="majorHAnsi" w:hAnsiTheme="majorHAnsi"/>
          <w:sz w:val="22"/>
          <w:szCs w:val="22"/>
        </w:rPr>
        <w:t xml:space="preserve"> présentent une forte activité anti-oxydante comme le SDG (</w:t>
      </w:r>
      <w:proofErr w:type="spellStart"/>
      <w:r w:rsidRPr="00D23C6C">
        <w:rPr>
          <w:rFonts w:asciiTheme="majorHAnsi" w:hAnsiTheme="majorHAnsi"/>
          <w:sz w:val="22"/>
          <w:szCs w:val="22"/>
        </w:rPr>
        <w:t>Sécoisolaricirésinol</w:t>
      </w:r>
      <w:proofErr w:type="spellEnd"/>
      <w:r w:rsidRPr="00D23C6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23C6C">
        <w:rPr>
          <w:rFonts w:asciiTheme="majorHAnsi" w:hAnsiTheme="majorHAnsi"/>
          <w:sz w:val="22"/>
          <w:szCs w:val="22"/>
        </w:rPr>
        <w:t>diglucoside</w:t>
      </w:r>
      <w:proofErr w:type="spellEnd"/>
      <w:r w:rsidRPr="00D23C6C">
        <w:rPr>
          <w:rFonts w:asciiTheme="majorHAnsi" w:hAnsiTheme="majorHAnsi"/>
          <w:sz w:val="22"/>
          <w:szCs w:val="22"/>
        </w:rPr>
        <w:t>)</w:t>
      </w:r>
      <w:r w:rsidRPr="00D23C6C">
        <w:rPr>
          <w:rFonts w:asciiTheme="majorHAnsi" w:hAnsiTheme="majorHAnsi"/>
          <w:sz w:val="22"/>
          <w:szCs w:val="22"/>
          <w:vertAlign w:val="superscript"/>
        </w:rPr>
        <w:t>1</w:t>
      </w:r>
      <w:r w:rsidRPr="00D23C6C">
        <w:rPr>
          <w:rFonts w:asciiTheme="majorHAnsi" w:hAnsiTheme="majorHAnsi"/>
          <w:sz w:val="22"/>
          <w:szCs w:val="22"/>
        </w:rPr>
        <w:t xml:space="preserve"> qui permet par exemple de diminuer les symptômes d’un certain nombre de pathologies</w:t>
      </w:r>
      <w:r w:rsidRPr="00D23C6C">
        <w:rPr>
          <w:rFonts w:asciiTheme="majorHAnsi" w:hAnsiTheme="majorHAnsi"/>
          <w:sz w:val="22"/>
          <w:szCs w:val="22"/>
          <w:vertAlign w:val="superscript"/>
        </w:rPr>
        <w:t>2</w:t>
      </w:r>
      <w:r w:rsidRPr="00D23C6C">
        <w:rPr>
          <w:rFonts w:asciiTheme="majorHAnsi" w:hAnsiTheme="majorHAnsi"/>
          <w:sz w:val="22"/>
          <w:szCs w:val="22"/>
        </w:rPr>
        <w:t>.</w:t>
      </w:r>
    </w:p>
    <w:p w14:paraId="697023DD" w14:textId="77777777" w:rsidR="0021327B" w:rsidRPr="00D23C6C" w:rsidRDefault="0021327B" w:rsidP="0021327B">
      <w:pPr>
        <w:ind w:firstLine="426"/>
        <w:jc w:val="both"/>
        <w:rPr>
          <w:rFonts w:asciiTheme="majorHAnsi" w:hAnsiTheme="majorHAnsi"/>
          <w:sz w:val="22"/>
          <w:szCs w:val="22"/>
        </w:rPr>
      </w:pPr>
    </w:p>
    <w:p w14:paraId="6A9EF8C0" w14:textId="0E1CBE91" w:rsidR="008622D0" w:rsidRPr="0021327B" w:rsidRDefault="008622D0" w:rsidP="0021327B">
      <w:pPr>
        <w:ind w:firstLine="426"/>
        <w:jc w:val="both"/>
        <w:rPr>
          <w:rFonts w:asciiTheme="majorHAnsi" w:hAnsiTheme="majorHAnsi"/>
          <w:sz w:val="22"/>
          <w:szCs w:val="22"/>
        </w:rPr>
      </w:pPr>
      <w:r w:rsidRPr="00D23C6C">
        <w:rPr>
          <w:rFonts w:asciiTheme="majorHAnsi" w:hAnsiTheme="majorHAnsi"/>
          <w:sz w:val="22"/>
          <w:szCs w:val="22"/>
        </w:rPr>
        <w:t>Afin de montrer l’impact de cette double mutation dans le métabolisme d’</w:t>
      </w:r>
      <w:r w:rsidRPr="00D23C6C">
        <w:rPr>
          <w:rFonts w:asciiTheme="majorHAnsi" w:hAnsiTheme="majorHAnsi"/>
          <w:i/>
          <w:sz w:val="22"/>
          <w:szCs w:val="22"/>
        </w:rPr>
        <w:t>Arabidopsis thaliana</w:t>
      </w:r>
      <w:r w:rsidRPr="00D23C6C">
        <w:rPr>
          <w:rFonts w:asciiTheme="majorHAnsi" w:hAnsiTheme="majorHAnsi"/>
          <w:sz w:val="22"/>
          <w:szCs w:val="22"/>
        </w:rPr>
        <w:t>, deux simples mutants homozygotes pour ces enzymes ont été sélectionnés pour faire des croisements de façon à obtenir les doubles mutants correspondant. Après vérification par RT-</w:t>
      </w:r>
      <w:proofErr w:type="spellStart"/>
      <w:r w:rsidRPr="00D23C6C">
        <w:rPr>
          <w:rFonts w:asciiTheme="majorHAnsi" w:hAnsiTheme="majorHAnsi"/>
          <w:sz w:val="22"/>
          <w:szCs w:val="22"/>
        </w:rPr>
        <w:t>qPCR</w:t>
      </w:r>
      <w:proofErr w:type="spellEnd"/>
      <w:r w:rsidRPr="00D23C6C">
        <w:rPr>
          <w:rFonts w:asciiTheme="majorHAnsi" w:hAnsiTheme="majorHAnsi"/>
          <w:sz w:val="22"/>
          <w:szCs w:val="22"/>
        </w:rPr>
        <w:t xml:space="preserve"> du caractère Knock Out pour les gènes Pr, la tige, la rosette et les racines ont été récoltées séparément sur des plantes de 45 jours. Des données de transcriptomique par </w:t>
      </w:r>
      <w:proofErr w:type="spellStart"/>
      <w:r w:rsidRPr="00D23C6C">
        <w:rPr>
          <w:rFonts w:asciiTheme="majorHAnsi" w:hAnsiTheme="majorHAnsi"/>
          <w:sz w:val="22"/>
          <w:szCs w:val="22"/>
        </w:rPr>
        <w:t>microarrays</w:t>
      </w:r>
      <w:proofErr w:type="spellEnd"/>
      <w:r w:rsidRPr="00D23C6C">
        <w:rPr>
          <w:rFonts w:asciiTheme="majorHAnsi" w:hAnsiTheme="majorHAnsi"/>
          <w:sz w:val="22"/>
          <w:szCs w:val="22"/>
        </w:rPr>
        <w:t xml:space="preserve"> ont été obtenues sur ces trois derniers organes. L’ensemble des métabolites de ces tissus ont été analysés par l’association de plusieurs méthodes de chimie analytique. Des approches par RMN </w:t>
      </w:r>
      <w:r w:rsidRPr="00D23C6C">
        <w:rPr>
          <w:rFonts w:asciiTheme="majorHAnsi" w:hAnsiTheme="majorHAnsi"/>
          <w:sz w:val="22"/>
          <w:szCs w:val="22"/>
          <w:vertAlign w:val="superscript"/>
        </w:rPr>
        <w:t>1</w:t>
      </w:r>
      <w:r w:rsidRPr="00D23C6C">
        <w:rPr>
          <w:rFonts w:asciiTheme="majorHAnsi" w:hAnsiTheme="majorHAnsi"/>
          <w:sz w:val="22"/>
          <w:szCs w:val="22"/>
        </w:rPr>
        <w:t>H, LC-MS et GC-MS ont été réalisées. Un dosage de la lignine totale et sa caractérisation ont été</w:t>
      </w:r>
      <w:r w:rsidR="0021327B">
        <w:rPr>
          <w:rFonts w:asciiTheme="majorHAnsi" w:hAnsiTheme="majorHAnsi"/>
          <w:sz w:val="22"/>
          <w:szCs w:val="22"/>
        </w:rPr>
        <w:t xml:space="preserve"> effectués sur racines et tiges.</w:t>
      </w:r>
    </w:p>
    <w:p w14:paraId="7D2794E7" w14:textId="215A9AE8" w:rsidR="0010641D" w:rsidRPr="00784FE5" w:rsidRDefault="0010641D" w:rsidP="00317B8A">
      <w:pPr>
        <w:spacing w:line="259" w:lineRule="auto"/>
        <w:jc w:val="both"/>
        <w:rPr>
          <w:rFonts w:asciiTheme="majorHAnsi" w:eastAsiaTheme="minorHAnsi" w:hAnsiTheme="majorHAnsi" w:cs="Arial"/>
          <w:color w:val="000000"/>
          <w:sz w:val="16"/>
          <w:szCs w:val="16"/>
          <w:shd w:val="clear" w:color="auto" w:fill="FFFFFF"/>
          <w:lang w:eastAsia="en-US"/>
        </w:rPr>
      </w:pPr>
    </w:p>
    <w:sectPr w:rsidR="0010641D" w:rsidRPr="00784FE5" w:rsidSect="00696900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93C76" w14:textId="77777777" w:rsidR="00E60E36" w:rsidRDefault="00E60E36" w:rsidP="004B155A">
      <w:r>
        <w:separator/>
      </w:r>
    </w:p>
  </w:endnote>
  <w:endnote w:type="continuationSeparator" w:id="0">
    <w:p w14:paraId="237962CE" w14:textId="77777777" w:rsidR="00E60E36" w:rsidRDefault="00E60E36" w:rsidP="004B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4718A" w14:textId="77777777" w:rsidR="008622D0" w:rsidRDefault="008622D0" w:rsidP="008F2439">
    <w:pPr>
      <w:pStyle w:val="Pieddepage"/>
      <w:framePr w:wrap="around" w:vAnchor="text" w:hAnchor="margin" w:xAlign="right" w:y="1"/>
      <w:rPr>
        <w:rStyle w:val="Numrodepage"/>
        <w:rFonts w:ascii="Times New Roman" w:eastAsia="MS Mincho" w:hAnsi="Times New Roman"/>
        <w:lang w:val="fr-FR" w:eastAsia="ja-JP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649040" w14:textId="77777777" w:rsidR="008622D0" w:rsidRDefault="008622D0" w:rsidP="00D85F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4A43" w14:textId="77777777" w:rsidR="008622D0" w:rsidRPr="00DD58C3" w:rsidRDefault="008622D0" w:rsidP="00372289">
    <w:pPr>
      <w:pStyle w:val="Pieddepage"/>
      <w:ind w:right="360"/>
      <w:jc w:val="right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BD6FF" w14:textId="77777777" w:rsidR="00E60E36" w:rsidRDefault="00E60E36" w:rsidP="004B155A">
      <w:r>
        <w:separator/>
      </w:r>
    </w:p>
  </w:footnote>
  <w:footnote w:type="continuationSeparator" w:id="0">
    <w:p w14:paraId="52277EFE" w14:textId="77777777" w:rsidR="00E60E36" w:rsidRDefault="00E60E36" w:rsidP="004B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4EA3" w14:textId="62C7B90B" w:rsidR="008622D0" w:rsidRDefault="008622D0" w:rsidP="00766074">
    <w:pPr>
      <w:pStyle w:val="En-tte"/>
      <w:ind w:left="-426"/>
    </w:pPr>
    <w:r>
      <w:rPr>
        <w:noProof/>
        <w:lang w:val="fr-FR" w:eastAsia="fr-FR"/>
      </w:rPr>
      <w:drawing>
        <wp:inline distT="0" distB="0" distL="0" distR="0" wp14:anchorId="26769AF5" wp14:editId="2312B450">
          <wp:extent cx="1949450" cy="736600"/>
          <wp:effectExtent l="0" t="0" r="6350" b="0"/>
          <wp:docPr id="1" name="Image 0" descr="Description : logo SFR 78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Description : logo SFR 78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</w:t>
    </w:r>
  </w:p>
  <w:p w14:paraId="366C9EC7" w14:textId="77777777" w:rsidR="008622D0" w:rsidRDefault="008622D0" w:rsidP="00766074">
    <w:pPr>
      <w:pStyle w:val="En-tte"/>
      <w:ind w:left="-426"/>
      <w:rPr>
        <w:rFonts w:ascii="Arial" w:hAnsi="Arial"/>
        <w:sz w:val="20"/>
      </w:rPr>
    </w:pPr>
    <w:r>
      <w:tab/>
    </w:r>
  </w:p>
  <w:p w14:paraId="001410CA" w14:textId="77777777" w:rsidR="008622D0" w:rsidRDefault="008622D0" w:rsidP="00766074">
    <w:pPr>
      <w:pStyle w:val="En-tte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A6"/>
    <w:rsid w:val="00005F52"/>
    <w:rsid w:val="00020980"/>
    <w:rsid w:val="00056B98"/>
    <w:rsid w:val="00066418"/>
    <w:rsid w:val="00082BA6"/>
    <w:rsid w:val="00096A1C"/>
    <w:rsid w:val="000A1BBE"/>
    <w:rsid w:val="000B239A"/>
    <w:rsid w:val="000E03A6"/>
    <w:rsid w:val="000F7D76"/>
    <w:rsid w:val="00100543"/>
    <w:rsid w:val="0010641D"/>
    <w:rsid w:val="001140A6"/>
    <w:rsid w:val="00122D60"/>
    <w:rsid w:val="00124621"/>
    <w:rsid w:val="001333E6"/>
    <w:rsid w:val="001B25B3"/>
    <w:rsid w:val="001C5ED2"/>
    <w:rsid w:val="001D30B5"/>
    <w:rsid w:val="0021327B"/>
    <w:rsid w:val="002274E2"/>
    <w:rsid w:val="00232719"/>
    <w:rsid w:val="002917D9"/>
    <w:rsid w:val="002A4215"/>
    <w:rsid w:val="002B588C"/>
    <w:rsid w:val="002C6350"/>
    <w:rsid w:val="002D4ACB"/>
    <w:rsid w:val="00312FF1"/>
    <w:rsid w:val="00317B8A"/>
    <w:rsid w:val="00327B53"/>
    <w:rsid w:val="00372289"/>
    <w:rsid w:val="00391DE7"/>
    <w:rsid w:val="00393502"/>
    <w:rsid w:val="00406598"/>
    <w:rsid w:val="004457C5"/>
    <w:rsid w:val="00456C65"/>
    <w:rsid w:val="00471DB6"/>
    <w:rsid w:val="00480DBE"/>
    <w:rsid w:val="004B155A"/>
    <w:rsid w:val="004D26A4"/>
    <w:rsid w:val="00541863"/>
    <w:rsid w:val="005521F1"/>
    <w:rsid w:val="005712C8"/>
    <w:rsid w:val="00577A2D"/>
    <w:rsid w:val="00580ABB"/>
    <w:rsid w:val="005A25ED"/>
    <w:rsid w:val="005C7CFB"/>
    <w:rsid w:val="00601B97"/>
    <w:rsid w:val="006026EF"/>
    <w:rsid w:val="006251F6"/>
    <w:rsid w:val="0066514B"/>
    <w:rsid w:val="00682114"/>
    <w:rsid w:val="00696900"/>
    <w:rsid w:val="006F2954"/>
    <w:rsid w:val="007048BC"/>
    <w:rsid w:val="00731842"/>
    <w:rsid w:val="00766074"/>
    <w:rsid w:val="00784FE5"/>
    <w:rsid w:val="007C3238"/>
    <w:rsid w:val="007F18D3"/>
    <w:rsid w:val="0080123A"/>
    <w:rsid w:val="00805339"/>
    <w:rsid w:val="008238CB"/>
    <w:rsid w:val="0082680E"/>
    <w:rsid w:val="00835EA3"/>
    <w:rsid w:val="0084350C"/>
    <w:rsid w:val="00843F9A"/>
    <w:rsid w:val="008622D0"/>
    <w:rsid w:val="00886158"/>
    <w:rsid w:val="00891545"/>
    <w:rsid w:val="008D4E77"/>
    <w:rsid w:val="008F2439"/>
    <w:rsid w:val="0091299B"/>
    <w:rsid w:val="009216CC"/>
    <w:rsid w:val="009365B1"/>
    <w:rsid w:val="00987836"/>
    <w:rsid w:val="009D20CE"/>
    <w:rsid w:val="00A43DFC"/>
    <w:rsid w:val="00A46A28"/>
    <w:rsid w:val="00A77C54"/>
    <w:rsid w:val="00A8779F"/>
    <w:rsid w:val="00A9325A"/>
    <w:rsid w:val="00AD2FDA"/>
    <w:rsid w:val="00B34EFA"/>
    <w:rsid w:val="00B617AF"/>
    <w:rsid w:val="00B67E15"/>
    <w:rsid w:val="00BE22CB"/>
    <w:rsid w:val="00BF4F43"/>
    <w:rsid w:val="00C147FC"/>
    <w:rsid w:val="00C15105"/>
    <w:rsid w:val="00C34848"/>
    <w:rsid w:val="00C805B1"/>
    <w:rsid w:val="00C83726"/>
    <w:rsid w:val="00C919AF"/>
    <w:rsid w:val="00CD0711"/>
    <w:rsid w:val="00CF48DA"/>
    <w:rsid w:val="00D06C4D"/>
    <w:rsid w:val="00D11DB2"/>
    <w:rsid w:val="00D23C6C"/>
    <w:rsid w:val="00D6439C"/>
    <w:rsid w:val="00D85F64"/>
    <w:rsid w:val="00D91BCB"/>
    <w:rsid w:val="00DA2473"/>
    <w:rsid w:val="00DB13A0"/>
    <w:rsid w:val="00DD58C3"/>
    <w:rsid w:val="00E44A4B"/>
    <w:rsid w:val="00E60E36"/>
    <w:rsid w:val="00E7728A"/>
    <w:rsid w:val="00E94B33"/>
    <w:rsid w:val="00EA7079"/>
    <w:rsid w:val="00F0159D"/>
    <w:rsid w:val="00F1039A"/>
    <w:rsid w:val="00F1753F"/>
    <w:rsid w:val="00F42DE6"/>
    <w:rsid w:val="00FA1004"/>
    <w:rsid w:val="00FB26A5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F3EC0"/>
  <w15:docId w15:val="{EA24DE3E-E868-4088-B749-D6211C2A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43"/>
    <w:rPr>
      <w:rFonts w:ascii="Times New Roman" w:eastAsia="MS Mincho" w:hAnsi="Times New Roman"/>
      <w:sz w:val="24"/>
      <w:szCs w:val="24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140A6"/>
    <w:pPr>
      <w:tabs>
        <w:tab w:val="center" w:pos="4536"/>
        <w:tab w:val="right" w:pos="9072"/>
      </w:tabs>
    </w:pPr>
    <w:rPr>
      <w:rFonts w:ascii="Cambria" w:eastAsia="Cambria" w:hAnsi="Cambria"/>
      <w:lang w:val="en-GB" w:eastAsia="en-US"/>
    </w:rPr>
  </w:style>
  <w:style w:type="character" w:customStyle="1" w:styleId="En-tteCar">
    <w:name w:val="En-tête Car"/>
    <w:link w:val="En-tte"/>
    <w:uiPriority w:val="99"/>
    <w:semiHidden/>
    <w:locked/>
    <w:rsid w:val="001140A6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1140A6"/>
    <w:pPr>
      <w:tabs>
        <w:tab w:val="center" w:pos="4536"/>
        <w:tab w:val="right" w:pos="9072"/>
      </w:tabs>
    </w:pPr>
    <w:rPr>
      <w:rFonts w:ascii="Cambria" w:eastAsia="Cambria" w:hAnsi="Cambria"/>
      <w:lang w:val="en-GB" w:eastAsia="en-US"/>
    </w:rPr>
  </w:style>
  <w:style w:type="character" w:customStyle="1" w:styleId="PieddepageCar">
    <w:name w:val="Pied de page Car"/>
    <w:link w:val="Pieddepage"/>
    <w:uiPriority w:val="99"/>
    <w:semiHidden/>
    <w:locked/>
    <w:rsid w:val="001140A6"/>
    <w:rPr>
      <w:rFonts w:cs="Times New Roman"/>
    </w:rPr>
  </w:style>
  <w:style w:type="table" w:styleId="Grilledutableau">
    <w:name w:val="Table Grid"/>
    <w:basedOn w:val="TableauNormal"/>
    <w:rsid w:val="00BF4F4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rsid w:val="00D85F6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FF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12FF1"/>
    <w:rPr>
      <w:rFonts w:ascii="Lucida Grande" w:eastAsia="MS Mincho" w:hAnsi="Lucida Grande"/>
      <w:sz w:val="18"/>
      <w:szCs w:val="18"/>
      <w:lang w:eastAsia="ja-JP"/>
    </w:rPr>
  </w:style>
  <w:style w:type="character" w:styleId="Lienhypertexte">
    <w:name w:val="Hyperlink"/>
    <w:basedOn w:val="Policepardfaut"/>
    <w:uiPriority w:val="99"/>
    <w:unhideWhenUsed/>
    <w:rsid w:val="00BE22CB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rsid w:val="008622D0"/>
  </w:style>
  <w:style w:type="paragraph" w:customStyle="1" w:styleId="Default">
    <w:name w:val="Default"/>
    <w:rsid w:val="008622D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862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6C874E-64F8-47AC-82D1-70AAF602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sdrp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SFR condorcet</dc:creator>
  <cp:keywords/>
  <dc:description/>
  <cp:lastModifiedBy>PERRINE PREVOT-LIGER</cp:lastModifiedBy>
  <cp:revision>2</cp:revision>
  <cp:lastPrinted>2012-04-13T07:42:00Z</cp:lastPrinted>
  <dcterms:created xsi:type="dcterms:W3CDTF">2020-11-05T14:30:00Z</dcterms:created>
  <dcterms:modified xsi:type="dcterms:W3CDTF">2020-11-05T14:30:00Z</dcterms:modified>
</cp:coreProperties>
</file>